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941" w:rsidRPr="009B5941" w:rsidRDefault="009B5941" w:rsidP="009B5941">
      <w:pPr>
        <w:shd w:val="clear" w:color="auto" w:fill="FFFFFF"/>
        <w:spacing w:after="100" w:afterAutospacing="1" w:line="240" w:lineRule="auto"/>
        <w:outlineLvl w:val="1"/>
        <w:rPr>
          <w:rFonts w:ascii="PT" w:eastAsia="Times New Roman" w:hAnsi="PT" w:cs="Times New Roman"/>
          <w:color w:val="343A40"/>
          <w:sz w:val="36"/>
          <w:szCs w:val="36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36"/>
          <w:szCs w:val="36"/>
          <w:lang w:eastAsia="ru-RU"/>
        </w:rPr>
        <w:t>Практическое занятие 1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по теме 2.3 Организационно-правовые формы государственного аппарата управления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b/>
          <w:bCs/>
          <w:i/>
          <w:iCs/>
          <w:color w:val="343A40"/>
          <w:sz w:val="20"/>
          <w:szCs w:val="20"/>
          <w:lang w:eastAsia="ru-RU"/>
        </w:rPr>
        <w:t>Цель занятия:</w:t>
      </w: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  <w:r w:rsidRPr="009B5941">
        <w:rPr>
          <w:rFonts w:ascii="PT" w:eastAsia="Times New Roman" w:hAnsi="PT" w:cs="Times New Roman"/>
          <w:i/>
          <w:iCs/>
          <w:color w:val="343A40"/>
          <w:sz w:val="20"/>
          <w:szCs w:val="20"/>
          <w:lang w:eastAsia="ru-RU"/>
        </w:rPr>
        <w:t>закрепление знаний в сфере организационно-правовых форм государственного аппарата управления, формирование умения применять их для решения практических задач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 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1.</w:t>
      </w:r>
      <w:r w:rsidRPr="009B5941">
        <w:rPr>
          <w:rFonts w:ascii="PT" w:eastAsia="Times New Roman" w:hAnsi="PT" w:cs="Times New Roman"/>
          <w:b/>
          <w:bCs/>
          <w:i/>
          <w:iCs/>
          <w:color w:val="343A40"/>
          <w:sz w:val="20"/>
          <w:szCs w:val="20"/>
          <w:lang w:eastAsia="ru-RU"/>
        </w:rPr>
        <w:t> </w:t>
      </w: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Не менее чем по трем признакам проведите сравнительный анализ понятий «государственный орган власти» и «орган местного самоуправления».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018"/>
        <w:gridCol w:w="2925"/>
        <w:gridCol w:w="2736"/>
      </w:tblGrid>
      <w:tr w:rsidR="009B5941" w:rsidRPr="009B5941" w:rsidTr="009B5941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941" w:rsidRPr="009B5941" w:rsidRDefault="009B5941" w:rsidP="009B59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941" w:rsidRPr="009B5941" w:rsidRDefault="009B5941" w:rsidP="009B59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Признак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941" w:rsidRPr="009B5941" w:rsidRDefault="009B5941" w:rsidP="009B59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Государственный орган власти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941" w:rsidRPr="009B5941" w:rsidRDefault="009B5941" w:rsidP="009B59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 местного самоуправления</w:t>
            </w:r>
          </w:p>
        </w:tc>
      </w:tr>
      <w:tr w:rsidR="009B5941" w:rsidRPr="009B5941" w:rsidTr="009B5941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941" w:rsidRPr="009B5941" w:rsidRDefault="009B5941" w:rsidP="009B59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941" w:rsidRPr="009B5941" w:rsidRDefault="009B5941" w:rsidP="009B59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941" w:rsidRPr="009B5941" w:rsidRDefault="009B5941" w:rsidP="009B59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941" w:rsidRPr="009B5941" w:rsidRDefault="009B5941" w:rsidP="009B59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5941" w:rsidRPr="009B5941" w:rsidTr="009B5941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941" w:rsidRPr="009B5941" w:rsidRDefault="009B5941" w:rsidP="009B59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941" w:rsidRPr="009B5941" w:rsidRDefault="009B5941" w:rsidP="009B59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941" w:rsidRPr="009B5941" w:rsidRDefault="009B5941" w:rsidP="009B59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941" w:rsidRPr="009B5941" w:rsidRDefault="009B5941" w:rsidP="009B59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5941" w:rsidRPr="009B5941" w:rsidTr="009B5941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941" w:rsidRPr="009B5941" w:rsidRDefault="009B5941" w:rsidP="009B59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941" w:rsidRPr="009B5941" w:rsidRDefault="009B5941" w:rsidP="009B59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941" w:rsidRPr="009B5941" w:rsidRDefault="009B5941" w:rsidP="009B59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941" w:rsidRPr="009B5941" w:rsidRDefault="009B5941" w:rsidP="009B59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2.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Рассмотрите ситуацию.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 Регламенте деятельности Министерства </w:t>
      </w:r>
      <w:r w:rsidRPr="009B5941">
        <w:rPr>
          <w:rFonts w:ascii="PT" w:eastAsia="Times New Roman" w:hAnsi="PT" w:cs="Times New Roman"/>
          <w:color w:val="343A40"/>
          <w:sz w:val="20"/>
          <w:szCs w:val="20"/>
          <w:lang w:val="en-US" w:eastAsia="ru-RU"/>
        </w:rPr>
        <w:t>NNN</w:t>
      </w: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указано, что для рассмотрения споров с гражданами Министерство вправе создавать свой орган правосудия.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Ответьте на вопросы: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·       Правомерно ли включение в Регламент данного положения и почему?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·       </w:t>
      </w:r>
      <w:proofErr w:type="gramStart"/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</w:t>
      </w:r>
      <w:proofErr w:type="gramEnd"/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чем отличия Положения о деятельности министерства как органа государственной власти от его Регламента?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·       Через сервер "Официальная Россия" (ссылка: http://www.gov.ru/) зайдите на официальный сайт любого государственного органа. Перейдите в раздел "Документы".  Найдите документ, регламентирующий статус данного органа и регламент его деятельности. Напишите их названия и дату принятия. Кем они утверждены?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3.</w:t>
      </w: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Решите задачу.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Председатель Правительства России М. 1 августа 2019 года дал официальное задание министру промышленности К. разработать в течение месяца план развития промышленности Российской Федерации на ближайшие пять лет. Через месяц, 1 сентября 2019 года на внеочередном заседании Правительства РФ М. предложил министру К. кратко обозначить ключевые направления развития промышленности. Министр ответил, что программа в полном объеме не готова и развернутый ответ на поставленный вопрос он дать не может. После этого М. публично, в присутствии других членов Правительства РФ, объявил выговор в письменной форме распоряжением министру К. и пообещал ему, что если данное им поручение не будет выполнено в самые кратчайшие сроки, то его ждёт увольнение с должности. На следующий день К. написал служебное письмо Президенту РФ П., в котором изложил необоснованность и незаконность его привлечения к дисциплинарной ответственности и попросил снять в него наказание.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Вопросы: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1. Какие нормы права регулируют описанные в приведенной ситуации отношения? Ответ обоснуйте.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2 Какие обстоятельства, изложенные в описанной выше ситуации, имеют юридическое значение? Правильно ли министр К. был привлечён к дисциплинарной ответственности?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lastRenderedPageBreak/>
        <w:t>3. Имеет ли право Президент РФ отменить решение Председателя Правительства РФ о наложении дисциплинарного взыскания на министра?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Задания по теме 2.4 Особенности правового статуса выборных органов государственной власти и местного самоуправления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b/>
          <w:bCs/>
          <w:i/>
          <w:iCs/>
          <w:color w:val="343A40"/>
          <w:sz w:val="20"/>
          <w:szCs w:val="20"/>
          <w:lang w:eastAsia="ru-RU"/>
        </w:rPr>
        <w:t>Цель:</w:t>
      </w:r>
      <w:r w:rsidRPr="009B5941">
        <w:rPr>
          <w:rFonts w:ascii="PT" w:eastAsia="Times New Roman" w:hAnsi="PT" w:cs="Times New Roman"/>
          <w:i/>
          <w:iCs/>
          <w:color w:val="343A40"/>
          <w:sz w:val="20"/>
          <w:szCs w:val="20"/>
          <w:lang w:eastAsia="ru-RU"/>
        </w:rPr>
        <w:t> формирование умения применять кадровую политику на государственной и муниципальной службе, закрепление знаний системы государственных учреждений и органов местного самоуправления, особенностей правового статуса выборных органов государственной власти и местного самоуправления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 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4.</w:t>
      </w: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Укажите Полномочия Президента Российской Федерации, по группам, заполнив таблицу.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Полномочия Президента Российской Федерации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4"/>
        <w:gridCol w:w="4905"/>
      </w:tblGrid>
      <w:tr w:rsidR="009B5941" w:rsidRPr="009B5941" w:rsidTr="009B5941"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941" w:rsidRPr="009B5941" w:rsidRDefault="009B5941" w:rsidP="009B59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полномочий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941" w:rsidRPr="009B5941" w:rsidRDefault="009B5941" w:rsidP="009B59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Полномочия</w:t>
            </w:r>
          </w:p>
        </w:tc>
      </w:tr>
      <w:tr w:rsidR="009B5941" w:rsidRPr="009B5941" w:rsidTr="009B5941"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941" w:rsidRPr="009B5941" w:rsidRDefault="009B5941" w:rsidP="009B59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  Полномочия, связанные с формированием федеральных органов государственной власти.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941" w:rsidRPr="009B5941" w:rsidRDefault="009B5941" w:rsidP="009B59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9B5941" w:rsidRPr="009B5941" w:rsidRDefault="009B5941" w:rsidP="009B59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9B5941" w:rsidRPr="009B5941" w:rsidRDefault="009B5941" w:rsidP="009B59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5941" w:rsidRPr="009B5941" w:rsidTr="009B5941"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941" w:rsidRPr="009B5941" w:rsidRDefault="009B5941" w:rsidP="009B59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  Полномочия, связанные с отношениями с законодательной ветвью власти.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941" w:rsidRPr="009B5941" w:rsidRDefault="009B5941" w:rsidP="009B59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9B5941" w:rsidRPr="009B5941" w:rsidRDefault="009B5941" w:rsidP="009B59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9B5941" w:rsidRPr="009B5941" w:rsidRDefault="009B5941" w:rsidP="009B59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5941" w:rsidRPr="009B5941" w:rsidTr="009B5941"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941" w:rsidRPr="009B5941" w:rsidRDefault="009B5941" w:rsidP="009B59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   Полномочия, связанные с отношениями с исполнительной ветвью власти.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941" w:rsidRPr="009B5941" w:rsidRDefault="009B5941" w:rsidP="009B59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9B5941" w:rsidRPr="009B5941" w:rsidRDefault="009B5941" w:rsidP="009B59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9B5941" w:rsidRPr="009B5941" w:rsidRDefault="009B5941" w:rsidP="009B59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5941" w:rsidRPr="009B5941" w:rsidTr="009B5941"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941" w:rsidRPr="009B5941" w:rsidRDefault="009B5941" w:rsidP="009B59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   Полномочия, связанны с отношениями с судебной ветвью власти.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941" w:rsidRPr="009B5941" w:rsidRDefault="009B5941" w:rsidP="009B59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9B5941" w:rsidRPr="009B5941" w:rsidRDefault="009B5941" w:rsidP="009B59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5941" w:rsidRPr="009B5941" w:rsidTr="009B5941"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941" w:rsidRPr="009B5941" w:rsidRDefault="009B5941" w:rsidP="009B59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   Полномочия в области внешней политики, обороны и безопасности.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941" w:rsidRPr="009B5941" w:rsidRDefault="009B5941" w:rsidP="009B59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9B5941" w:rsidRPr="009B5941" w:rsidRDefault="009B5941" w:rsidP="009B59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5941" w:rsidRPr="009B5941" w:rsidTr="009B5941"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941" w:rsidRPr="009B5941" w:rsidRDefault="009B5941" w:rsidP="009B59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   Полномочия по отношению к гражданам.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941" w:rsidRPr="009B5941" w:rsidRDefault="009B5941" w:rsidP="009B59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9B5941" w:rsidRPr="009B5941" w:rsidRDefault="009B5941" w:rsidP="009B59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5941" w:rsidRPr="009B5941" w:rsidTr="009B5941"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941" w:rsidRPr="009B5941" w:rsidRDefault="009B5941" w:rsidP="009B59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   Полномочия во взаимоотношениях с субъектами РФ.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941" w:rsidRPr="009B5941" w:rsidRDefault="009B5941" w:rsidP="009B59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9B5941" w:rsidRPr="009B5941" w:rsidRDefault="009B5941" w:rsidP="009B59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5941" w:rsidRPr="009B5941" w:rsidTr="009B5941"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941" w:rsidRPr="009B5941" w:rsidRDefault="009B5941" w:rsidP="009B59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   Иные полномочия.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941" w:rsidRPr="009B5941" w:rsidRDefault="009B5941" w:rsidP="009B59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9B5941" w:rsidRPr="009B5941" w:rsidRDefault="009B5941" w:rsidP="009B59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</w:tbl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 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5. </w:t>
      </w: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Выполните кейс- задания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Кейс 1.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Указом Президента РФ Генеральный прокурор РФ был отстранен от должности на период расследования возбужденного против него уголовного дела.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lastRenderedPageBreak/>
        <w:t>По мнению Совета Федерации, такое отстранение может иметь место только в порядке, установленном ст. 83 (п. «е»),1-2 (п. «з» ч. 1) и 129 (ч.2) Конституции РФ для назначения на должность и освобождения от должности Генерального прокурора РФ, т.е. должно осуществляться Советом Федерации по представлению Президента РФ, и, следовательно, Президент не вправе издать подобный указ.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Является ли конституционным Указ Президента РФ об отстранении от должности Генерального прокурора РФ на период расследования возбужденного в отношении него уголовного дела? Относится ли к компетенции Президента РФ данное полномочие?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Кейс 2.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При проведении выборов в Государственную Думу партия Любители пива получили 1,5 % голосов. Охарактеризуйте перспективы партии по получению мандатов членов Государственной Думы.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Кейс 3.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Губернатор Пермского края написал завещание, одним из пунктов которого была передача должности в случае скоропостижной смерти его заместителю Петрову. Вправе ли Петров вступить в должность губернатора на основании данного завещания? Ответ обоснуйте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Кейс 4.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 основу работы Федерального Собрания Российской Федерации положен принцип разделения палат на верхнюю и нижнюю.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Объясните содержание данного принципа. Означает ли он подчинение Государственной Думы Совету Федерации?      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Перечислите основания роспуска Государственной Думы Президентом РФ. В каких случаях Государственная Дума не может быть распущена?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Кейс 5.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Вы слышите спор двух государственных служащих, один из которых утверждает, что первым и главным звеном в системе государственного управления и государственной службы является Президент РФ, а другой – что Президент не входит в систему государственной службы.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Кто из спорящих прав?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Конституция РФ прямо не называет Президента РФ главой исполнительной власти, тем не менее он тесно связан с последней. Приведите факты, подтверждающие эту связь.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  <w:r w:rsidRPr="009B594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 xml:space="preserve">Задание по </w:t>
      </w:r>
      <w:proofErr w:type="gramStart"/>
      <w:r w:rsidRPr="009B594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теме  2.6</w:t>
      </w:r>
      <w:proofErr w:type="gramEnd"/>
      <w:r w:rsidRPr="009B594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 xml:space="preserve"> Система и компетенция органов государственной власти субъектов Федерации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b/>
          <w:bCs/>
          <w:i/>
          <w:iCs/>
          <w:color w:val="343A40"/>
          <w:sz w:val="20"/>
          <w:szCs w:val="20"/>
          <w:lang w:eastAsia="ru-RU"/>
        </w:rPr>
        <w:t>Цель:</w:t>
      </w:r>
      <w:r w:rsidRPr="009B5941">
        <w:rPr>
          <w:rFonts w:ascii="PT" w:eastAsia="Times New Roman" w:hAnsi="PT" w:cs="Times New Roman"/>
          <w:i/>
          <w:iCs/>
          <w:color w:val="343A40"/>
          <w:sz w:val="20"/>
          <w:szCs w:val="20"/>
          <w:lang w:eastAsia="ru-RU"/>
        </w:rPr>
        <w:t> формирование навыков применения знаний о системе и компетенции органов государственной власти субъектов Федерации при решении практических задач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i/>
          <w:iCs/>
          <w:color w:val="343A40"/>
          <w:sz w:val="20"/>
          <w:szCs w:val="20"/>
          <w:lang w:eastAsia="ru-RU"/>
        </w:rPr>
        <w:t> 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6.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Разработайте типовую структуру органов государственной власти в субъекте Российской Федерации, представьте ее в виде схемы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На примере любого субъекта РФ постройте схему "Органы государственной власти /указать субъект РФ/.  К данной схеме в виде пояснений: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lastRenderedPageBreak/>
        <w:t>а) указать точное название органов власти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б) привести перечень законов субъекта РФ, на основании которых они осуществляют свою деятельность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 Задание 7.</w:t>
      </w:r>
      <w:r w:rsidRPr="009B5941">
        <w:rPr>
          <w:rFonts w:ascii="PT" w:eastAsia="Times New Roman" w:hAnsi="PT" w:cs="Times New Roman"/>
          <w:b/>
          <w:bCs/>
          <w:i/>
          <w:iCs/>
          <w:color w:val="343A40"/>
          <w:sz w:val="20"/>
          <w:szCs w:val="20"/>
          <w:lang w:eastAsia="ru-RU"/>
        </w:rPr>
        <w:t> </w:t>
      </w: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Выполните кейс- задание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Кейс 1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На публичном общественном обсуждении одного из законодательных актов правительства автономного округа, в котором обсуждаются меры ответственности за экономические нарушения, раздался </w:t>
      </w:r>
      <w:proofErr w:type="gramStart"/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голос  из</w:t>
      </w:r>
      <w:proofErr w:type="gramEnd"/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зала: «Бесполезно этот законопроект обсуждать. У нас авторитарное правление, как начальник скажет, так и будет. Кроме того, все законы у нас в основном репрессивные, так как власть исходит из положения, что человек нечестен, ленив, жаден».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Что бы Вы ответили?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Кейс 2</w:t>
      </w:r>
    </w:p>
    <w:p w:rsidR="009B5941" w:rsidRPr="009B5941" w:rsidRDefault="009B5941" w:rsidP="009B594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Руководитель возвращает Вам подготовленный Вами документ со следующим замечанием: «Вы пишете то «исполнительные органы государственной власти субъекта Российской Федерации», то «органы исполнительной власти субъекта Российской Федерации». Уточните, как правильно писать это словосочетание и исправьте документ».</w:t>
      </w:r>
    </w:p>
    <w:p w:rsidR="009B5941" w:rsidRPr="009B5941" w:rsidRDefault="009B5941" w:rsidP="009B5941">
      <w:pPr>
        <w:shd w:val="clear" w:color="auto" w:fill="FFFFFF"/>
        <w:spacing w:after="0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B5941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Правомерно ли замечание? Каковы Ваши действия?</w:t>
      </w:r>
    </w:p>
    <w:p w:rsidR="004529DB" w:rsidRDefault="004529DB">
      <w:bookmarkStart w:id="0" w:name="_GoBack"/>
      <w:bookmarkEnd w:id="0"/>
    </w:p>
    <w:sectPr w:rsidR="00452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CF"/>
    <w:rsid w:val="000F3BCF"/>
    <w:rsid w:val="004529DB"/>
    <w:rsid w:val="009B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BB73A-EFFB-4C71-98CD-8866DD84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59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59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5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1085</Words>
  <Characters>6187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2022-02-14T12:30:00Z</dcterms:created>
  <dcterms:modified xsi:type="dcterms:W3CDTF">2022-02-14T12:31:00Z</dcterms:modified>
</cp:coreProperties>
</file>